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color w:val="000000"/>
          <w:sz w:val="20"/>
        </w:rPr>
        <w:t xml:space="preserve">Case study on epistemic metadata in molecular modelling</w:t>
      </w:r>
      <w:r/>
    </w:p>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sz w:val="20"/>
        </w:rPr>
      </w:r>
      <w:r/>
    </w:p>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color w:val="000000"/>
          <w:sz w:val="20"/>
        </w:rPr>
        <w:t xml:space="preserve">Martin Thomas Horsch, Silvia Chiacchiera, and Björn Schembera</w:t>
      </w:r>
      <w:r/>
    </w:p>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sz w:val="20"/>
        </w:rPr>
      </w:r>
      <w:r/>
    </w:p>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color w:val="000000"/>
          <w:sz w:val="20"/>
        </w:rPr>
        <w:t xml:space="preserve">Based on a case study on epistemic metadata in molecular modelling [1-2], we discuss epistemic grounding with a focus on the disciplinary scientists' point of view. Both normative and reliabilist lines of reasoning are found to occur. As the call for abstr</w:t>
      </w:r>
      <w:r>
        <w:rPr>
          <w:rFonts w:ascii="Courier New" w:hAnsi="Courier New" w:eastAsia="Courier New" w:cs="Courier New"/>
          <w:color w:val="000000"/>
          <w:sz w:val="20"/>
        </w:rPr>
        <w:t xml:space="preserve">acts states, even "in the philosophy of computational sciences and models, however, this difference has hardly been noted." Unsurprisingly, a conscious differentiation between the two is even less present among disciplinary scientists, and it can be compli</w:t>
      </w:r>
      <w:r>
        <w:rPr>
          <w:rFonts w:ascii="Courier New" w:hAnsi="Courier New" w:eastAsia="Courier New" w:cs="Courier New"/>
          <w:color w:val="000000"/>
          <w:sz w:val="20"/>
        </w:rPr>
        <w:t xml:space="preserve">cated to classify individual instances according to such a schema. We have previously proposed to distinguish Type-1 grounding, based on characteristics of the outcome, and Type-2 grounding, based on characteristics of the underlying cognitive process [3].</w:t>
      </w:r>
      <w:r>
        <w:rPr>
          <w:rFonts w:ascii="Courier New" w:hAnsi="Courier New" w:eastAsia="Courier New" w:cs="Courier New"/>
          <w:color w:val="000000"/>
          <w:sz w:val="20"/>
        </w:rPr>
        <w:t xml:space="preserve"> Normative arguments generally belong to Type-1, reliabilist arguments to Type-2. This is part of a more comprehensive effort toward a standardized documentation of the knowledge status of data [3, 4]. </w:t>
      </w:r>
      <w:r/>
    </w:p>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sz w:val="20"/>
        </w:rPr>
      </w:r>
      <w:r/>
    </w:p>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color w:val="000000"/>
          <w:sz w:val="20"/>
        </w:rPr>
        <w:t xml:space="preserve">Capturing epistemic grounding faces three methodological challenges that are particularly relevant to research data management in molecular modelling: First, the epistemic virtues that practitioners are most aware of have the tendency to oppose each other.</w:t>
      </w:r>
      <w:r>
        <w:rPr>
          <w:rFonts w:ascii="Courier New" w:hAnsi="Courier New" w:eastAsia="Courier New" w:cs="Courier New"/>
          <w:color w:val="000000"/>
          <w:sz w:val="20"/>
        </w:rPr>
        <w:t xml:space="preserve"> Simplicity favours models with few elements and few adjustable parameters, whereas faithfulness in representing the underlying physics does the opposite. Second, it is complicated to draw a clear line between normative and reliabilist arguments. Norms are</w:t>
      </w:r>
      <w:r>
        <w:rPr>
          <w:rFonts w:ascii="Courier New" w:hAnsi="Courier New" w:eastAsia="Courier New" w:cs="Courier New"/>
          <w:color w:val="000000"/>
          <w:sz w:val="20"/>
        </w:rPr>
        <w:t xml:space="preserve"> often in turn provided with a reliabilist justification; e.g., as we know from experience, models with fewer adjustable parameters are more reliable when extrapolating. Third, norms in operation within a disciplinary community are not usually explicitly w</w:t>
      </w:r>
      <w:r>
        <w:rPr>
          <w:rFonts w:ascii="Courier New" w:hAnsi="Courier New" w:eastAsia="Courier New" w:cs="Courier New"/>
          <w:color w:val="000000"/>
          <w:sz w:val="20"/>
        </w:rPr>
        <w:t xml:space="preserve">ritten down; they therefore need to be analysed in terms of pragmatics [4]. However, we thereby risk to impute onto authors norms which have not been agreed upon and which these authors have not in fact invoked. Moreover, members of a community might disag</w:t>
      </w:r>
      <w:r>
        <w:rPr>
          <w:rFonts w:ascii="Courier New" w:hAnsi="Courier New" w:eastAsia="Courier New" w:cs="Courier New"/>
          <w:color w:val="000000"/>
          <w:sz w:val="20"/>
        </w:rPr>
        <w:t xml:space="preserve">ree on norms and be unaware of their disagremment. Consequently, in reproducibility studies, secondary work may inadvertently hold the original work to a higher standard than the original authors intended. We therefore argue that reproducibility claims sho</w:t>
      </w:r>
      <w:r>
        <w:rPr>
          <w:rFonts w:ascii="Courier New" w:hAnsi="Courier New" w:eastAsia="Courier New" w:cs="Courier New"/>
          <w:color w:val="000000"/>
          <w:sz w:val="20"/>
        </w:rPr>
        <w:t xml:space="preserve">uld be made explicit, and provide a formalism for this through the PIMS-II ontology for cognitive processes [4].</w:t>
      </w:r>
      <w:r/>
    </w:p>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sz w:val="20"/>
        </w:rPr>
      </w:r>
      <w:r/>
    </w:p>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color w:val="000000"/>
          <w:sz w:val="20"/>
        </w:rPr>
        <w:t xml:space="preserve">[1] M. Horsch, B. Schembera, "Epistemic metadata in molecular modelling: First-stage case-study report (10 cases)," doi:10.5281/zenodo.7516532, 2023.</w:t>
      </w:r>
      <w:r/>
    </w:p>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color w:val="000000"/>
          <w:sz w:val="20"/>
        </w:rPr>
        <w:t xml:space="preserve">[2] M. Horsch, S. Chiacchiera, G. Guevara Carrión, M. Kohns, E. Müller, D. Šarić, S. Stephan, I. Todorov, J. Vrabec, B. Schembera, "Epistemic metadata in molecular modelling: Second-stage case-study report (12 claims)," doi:10.5281/zenodo.7608074, 2023.</w:t>
      </w:r>
      <w:r/>
    </w:p>
    <w:p>
      <w:pPr>
        <w:ind w:left="0" w:right="0" w:firstLine="0"/>
        <w:pBdr>
          <w:top w:val="none" w:color="000000" w:sz="4" w:space="0"/>
          <w:left w:val="none" w:color="000000" w:sz="4" w:space="0"/>
          <w:bottom w:val="none" w:color="000000" w:sz="4" w:space="0"/>
          <w:right w:val="none" w:color="000000" w:sz="4" w:space="0"/>
        </w:pBdr>
      </w:pPr>
      <w:r>
        <w:rPr>
          <w:rFonts w:ascii="Courier New" w:hAnsi="Courier New" w:eastAsia="Courier New" w:cs="Courier New"/>
          <w:color w:val="000000"/>
          <w:sz w:val="20"/>
        </w:rPr>
        <w:t xml:space="preserve">[3] M. Horsch, B. Schembera, "Documentation of epistemic metadata by a mid-level ontology of cognitive processes," in Proceedings of JOWO 2022: p. 2-CAOS, Aachen: CEUR-WS, 2023.</w:t>
      </w:r>
      <w:r/>
    </w:p>
    <w:p>
      <w:r>
        <w:rPr>
          <w:rFonts w:ascii="Courier New" w:hAnsi="Courier New" w:eastAsia="Courier New" w:cs="Courier New"/>
          <w:color w:val="000000"/>
          <w:sz w:val="20"/>
        </w:rPr>
        <w:t xml:space="preserve">[4] M. Horsch, S. Chiacchiera, G. Guevara Carrión, M. Kohns, E. Müller, D. Šarić, S. Stephan, I. Todorov, J. Vrabec, B. Schembera, "Epistemic metadata for computational engineering information systems," in Proceedings of FOIS 2023, to appear, 2023.</w:t>
      </w:r>
      <w: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7"/>
    <w:next w:val="617"/>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17"/>
    <w:next w:val="617"/>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17"/>
    <w:next w:val="617"/>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17"/>
    <w:next w:val="61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17"/>
    <w:next w:val="61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17"/>
    <w:next w:val="61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17"/>
    <w:next w:val="61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17"/>
    <w:next w:val="61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17"/>
    <w:next w:val="61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4">
    <w:name w:val="Title"/>
    <w:basedOn w:val="617"/>
    <w:next w:val="617"/>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17"/>
    <w:next w:val="617"/>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17"/>
    <w:next w:val="617"/>
    <w:link w:val="39"/>
    <w:uiPriority w:val="29"/>
    <w:qFormat/>
    <w:pPr>
      <w:ind w:left="720" w:right="720"/>
    </w:pPr>
    <w:rPr>
      <w:i/>
    </w:rPr>
  </w:style>
  <w:style w:type="character" w:styleId="39">
    <w:name w:val="Quote Char"/>
    <w:link w:val="38"/>
    <w:uiPriority w:val="29"/>
    <w:rPr>
      <w:i/>
    </w:rPr>
  </w:style>
  <w:style w:type="paragraph" w:styleId="40">
    <w:name w:val="Intense Quote"/>
    <w:basedOn w:val="617"/>
    <w:next w:val="61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17"/>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17"/>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17"/>
    <w:next w:val="617"/>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1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1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1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1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1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1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1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1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1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1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1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1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1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1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1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1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1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1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1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1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1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1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1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18"/>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1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1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1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18"/>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1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1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1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1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1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1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1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1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1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1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1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1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1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1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1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1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1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1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1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1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1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1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1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1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1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1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1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1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1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1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1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1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1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1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1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1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1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1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1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1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1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1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1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1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1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1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1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1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1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17"/>
    <w:next w:val="617"/>
    <w:uiPriority w:val="39"/>
    <w:unhideWhenUsed/>
    <w:pPr>
      <w:ind w:left="0" w:right="0" w:firstLine="0"/>
      <w:spacing w:after="57"/>
    </w:pPr>
  </w:style>
  <w:style w:type="paragraph" w:styleId="182">
    <w:name w:val="toc 2"/>
    <w:basedOn w:val="617"/>
    <w:next w:val="617"/>
    <w:uiPriority w:val="39"/>
    <w:unhideWhenUsed/>
    <w:pPr>
      <w:ind w:left="283" w:right="0" w:firstLine="0"/>
      <w:spacing w:after="57"/>
    </w:pPr>
  </w:style>
  <w:style w:type="paragraph" w:styleId="183">
    <w:name w:val="toc 3"/>
    <w:basedOn w:val="617"/>
    <w:next w:val="617"/>
    <w:uiPriority w:val="39"/>
    <w:unhideWhenUsed/>
    <w:pPr>
      <w:ind w:left="567" w:right="0" w:firstLine="0"/>
      <w:spacing w:after="57"/>
    </w:pPr>
  </w:style>
  <w:style w:type="paragraph" w:styleId="184">
    <w:name w:val="toc 4"/>
    <w:basedOn w:val="617"/>
    <w:next w:val="617"/>
    <w:uiPriority w:val="39"/>
    <w:unhideWhenUsed/>
    <w:pPr>
      <w:ind w:left="850" w:right="0" w:firstLine="0"/>
      <w:spacing w:after="57"/>
    </w:pPr>
  </w:style>
  <w:style w:type="paragraph" w:styleId="185">
    <w:name w:val="toc 5"/>
    <w:basedOn w:val="617"/>
    <w:next w:val="617"/>
    <w:uiPriority w:val="39"/>
    <w:unhideWhenUsed/>
    <w:pPr>
      <w:ind w:left="1134" w:right="0" w:firstLine="0"/>
      <w:spacing w:after="57"/>
    </w:pPr>
  </w:style>
  <w:style w:type="paragraph" w:styleId="186">
    <w:name w:val="toc 6"/>
    <w:basedOn w:val="617"/>
    <w:next w:val="617"/>
    <w:uiPriority w:val="39"/>
    <w:unhideWhenUsed/>
    <w:pPr>
      <w:ind w:left="1417" w:right="0" w:firstLine="0"/>
      <w:spacing w:after="57"/>
    </w:pPr>
  </w:style>
  <w:style w:type="paragraph" w:styleId="187">
    <w:name w:val="toc 7"/>
    <w:basedOn w:val="617"/>
    <w:next w:val="617"/>
    <w:uiPriority w:val="39"/>
    <w:unhideWhenUsed/>
    <w:pPr>
      <w:ind w:left="1701" w:right="0" w:firstLine="0"/>
      <w:spacing w:after="57"/>
    </w:pPr>
  </w:style>
  <w:style w:type="paragraph" w:styleId="188">
    <w:name w:val="toc 8"/>
    <w:basedOn w:val="617"/>
    <w:next w:val="617"/>
    <w:uiPriority w:val="39"/>
    <w:unhideWhenUsed/>
    <w:pPr>
      <w:ind w:left="1984" w:right="0" w:firstLine="0"/>
      <w:spacing w:after="57"/>
    </w:pPr>
  </w:style>
  <w:style w:type="paragraph" w:styleId="189">
    <w:name w:val="toc 9"/>
    <w:basedOn w:val="617"/>
    <w:next w:val="617"/>
    <w:uiPriority w:val="39"/>
    <w:unhideWhenUsed/>
    <w:pPr>
      <w:ind w:left="2268" w:right="0" w:firstLine="0"/>
      <w:spacing w:after="57"/>
    </w:pPr>
  </w:style>
  <w:style w:type="paragraph" w:styleId="190">
    <w:name w:val="TOC Heading"/>
    <w:uiPriority w:val="39"/>
    <w:unhideWhenUsed/>
  </w:style>
  <w:style w:type="paragraph" w:styleId="191">
    <w:name w:val="table of figures"/>
    <w:basedOn w:val="617"/>
    <w:next w:val="617"/>
    <w:uiPriority w:val="99"/>
    <w:unhideWhenUsed/>
    <w:pPr>
      <w:spacing w:after="0" w:afterAutospacing="0"/>
    </w:pPr>
  </w:style>
  <w:style w:type="paragraph" w:styleId="617" w:default="1">
    <w:name w:val="Normal"/>
    <w:qFormat/>
  </w:style>
  <w:style w:type="table" w:styleId="618" w:default="1">
    <w:name w:val="Normal Table"/>
    <w:uiPriority w:val="99"/>
    <w:semiHidden/>
    <w:unhideWhenUsed/>
    <w:tblPr>
      <w:tblInd w:w="0" w:type="dxa"/>
      <w:tblCellMar>
        <w:left w:w="108" w:type="dxa"/>
        <w:top w:w="0" w:type="dxa"/>
        <w:right w:w="108" w:type="dxa"/>
        <w:bottom w:w="0" w:type="dxa"/>
      </w:tblCellMar>
    </w:tblPr>
  </w:style>
  <w:style w:type="numbering" w:styleId="619" w:default="1">
    <w:name w:val="No List"/>
    <w:uiPriority w:val="99"/>
    <w:semiHidden/>
    <w:unhideWhenUsed/>
  </w:style>
  <w:style w:type="paragraph" w:styleId="620">
    <w:name w:val="No Spacing"/>
    <w:basedOn w:val="617"/>
    <w:uiPriority w:val="1"/>
    <w:qFormat/>
    <w:pPr>
      <w:spacing w:after="0" w:line="240" w:lineRule="auto"/>
    </w:pPr>
  </w:style>
  <w:style w:type="paragraph" w:styleId="621">
    <w:name w:val="List Paragraph"/>
    <w:basedOn w:val="617"/>
    <w:uiPriority w:val="34"/>
    <w:qFormat/>
    <w:pPr>
      <w:contextualSpacing/>
      <w:ind w:left="720"/>
    </w:pPr>
  </w:style>
  <w:style w:type="character" w:styleId="626"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ammu.joshy</cp:lastModifiedBy>
  <cp:revision>1</cp:revision>
  <dcterms:modified xsi:type="dcterms:W3CDTF">2023-07-03T09:15:17Z</dcterms:modified>
</cp:coreProperties>
</file>